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47B2" w:rsidRPr="00683CF1" w:rsidRDefault="008C47B2" w:rsidP="008C47B2">
      <w:pPr>
        <w:spacing w:after="0" w:line="240" w:lineRule="auto"/>
        <w:jc w:val="center"/>
      </w:pPr>
      <w:r w:rsidRPr="00683CF1">
        <w:t>Ayudantía 6  -  Estadísticas para la Gestión</w:t>
      </w:r>
    </w:p>
    <w:p w:rsidR="008C47B2" w:rsidRPr="00683CF1" w:rsidRDefault="008C47B2" w:rsidP="008C47B2">
      <w:pPr>
        <w:spacing w:after="0" w:line="240" w:lineRule="auto"/>
        <w:jc w:val="center"/>
      </w:pPr>
      <w:r w:rsidRPr="00683CF1">
        <w:t>Felipe Herrera, Hernán Romo y David Toro</w:t>
      </w:r>
    </w:p>
    <w:p w:rsidR="008C47B2" w:rsidRPr="00683CF1" w:rsidRDefault="008C47B2" w:rsidP="00115425">
      <w:pPr>
        <w:spacing w:after="0" w:line="240" w:lineRule="auto"/>
        <w:jc w:val="both"/>
      </w:pPr>
    </w:p>
    <w:p w:rsidR="00683CF1" w:rsidRPr="00683CF1" w:rsidRDefault="00683CF1" w:rsidP="008C47B2">
      <w:pPr>
        <w:pStyle w:val="Prrafodelista"/>
        <w:numPr>
          <w:ilvl w:val="0"/>
          <w:numId w:val="8"/>
        </w:numPr>
        <w:spacing w:after="0" w:line="240" w:lineRule="auto"/>
        <w:jc w:val="both"/>
      </w:pPr>
      <w:r w:rsidRPr="00683CF1">
        <w:t>Verdadero y Falso, justifiqué las Falsas:</w:t>
      </w:r>
    </w:p>
    <w:p w:rsidR="00683CF1" w:rsidRPr="00683CF1" w:rsidRDefault="00683CF1" w:rsidP="00683CF1">
      <w:pPr>
        <w:pStyle w:val="Prrafodelista"/>
        <w:spacing w:after="0" w:line="240" w:lineRule="auto"/>
        <w:ind w:left="360"/>
        <w:jc w:val="both"/>
      </w:pPr>
    </w:p>
    <w:p w:rsidR="00683CF1" w:rsidRPr="00683CF1" w:rsidRDefault="00683CF1" w:rsidP="00683CF1">
      <w:pPr>
        <w:pStyle w:val="Prrafodelista"/>
        <w:numPr>
          <w:ilvl w:val="0"/>
          <w:numId w:val="11"/>
        </w:numPr>
        <w:jc w:val="both"/>
        <w:rPr>
          <w:rFonts w:cstheme="minorHAnsi"/>
        </w:rPr>
      </w:pPr>
      <w:r w:rsidRPr="00683CF1">
        <w:rPr>
          <w:rFonts w:cstheme="minorHAnsi"/>
        </w:rPr>
        <w:t>Error tipo II (β): Es el error que se comete en la decisión del contraste cuando se rechaza la hipótesis nula (Ho), siendo correcta (cierta).</w:t>
      </w:r>
    </w:p>
    <w:tbl>
      <w:tblPr>
        <w:tblStyle w:val="Tablaconcuadrcula"/>
        <w:tblW w:w="10048" w:type="dxa"/>
        <w:tblInd w:w="720" w:type="dxa"/>
        <w:tblLook w:val="04A0" w:firstRow="1" w:lastRow="0" w:firstColumn="1" w:lastColumn="0" w:noHBand="0" w:noVBand="1"/>
      </w:tblPr>
      <w:tblGrid>
        <w:gridCol w:w="10048"/>
      </w:tblGrid>
      <w:tr w:rsidR="00683CF1" w:rsidRPr="00683CF1" w:rsidTr="00E10B9D">
        <w:tc>
          <w:tcPr>
            <w:tcW w:w="10048" w:type="dxa"/>
          </w:tcPr>
          <w:p w:rsidR="00683CF1" w:rsidRPr="00683CF1" w:rsidRDefault="00683CF1" w:rsidP="00E10B9D">
            <w:pPr>
              <w:spacing w:after="160" w:line="259" w:lineRule="auto"/>
              <w:jc w:val="both"/>
              <w:rPr>
                <w:rFonts w:asciiTheme="minorHAnsi" w:hAnsiTheme="minorHAnsi"/>
                <w:sz w:val="22"/>
                <w:szCs w:val="22"/>
                <w:highlight w:val="yellow"/>
              </w:rPr>
            </w:pPr>
          </w:p>
        </w:tc>
      </w:tr>
    </w:tbl>
    <w:p w:rsidR="00683CF1" w:rsidRPr="00683CF1" w:rsidRDefault="00683CF1" w:rsidP="00683CF1">
      <w:pPr>
        <w:pStyle w:val="Prrafodelista"/>
        <w:jc w:val="both"/>
        <w:rPr>
          <w:rFonts w:cstheme="minorHAnsi"/>
        </w:rPr>
      </w:pPr>
    </w:p>
    <w:p w:rsidR="00683CF1" w:rsidRPr="00683CF1" w:rsidRDefault="00683CF1" w:rsidP="00683CF1">
      <w:pPr>
        <w:pStyle w:val="Prrafodelista"/>
        <w:numPr>
          <w:ilvl w:val="0"/>
          <w:numId w:val="11"/>
        </w:numPr>
        <w:jc w:val="both"/>
        <w:rPr>
          <w:rFonts w:cstheme="minorHAnsi"/>
        </w:rPr>
      </w:pPr>
      <w:r w:rsidRPr="00683CF1">
        <w:rPr>
          <w:rFonts w:cstheme="minorHAnsi"/>
          <w:lang w:val="es-ES_tradnl"/>
        </w:rPr>
        <w:t>En un procedimiento de test de hipótesis la hipótesis que se contrasta es la alternativa. Esta hipótesis se mantendrá a no ser que los datos indiquen lo contrario. Esta hipótesis nunca se considera probada. Por el contrario, puede ser rechazada por los datos.</w:t>
      </w:r>
    </w:p>
    <w:tbl>
      <w:tblPr>
        <w:tblStyle w:val="Tablaconcuadrcula"/>
        <w:tblW w:w="10048" w:type="dxa"/>
        <w:tblInd w:w="720" w:type="dxa"/>
        <w:tblLook w:val="04A0" w:firstRow="1" w:lastRow="0" w:firstColumn="1" w:lastColumn="0" w:noHBand="0" w:noVBand="1"/>
      </w:tblPr>
      <w:tblGrid>
        <w:gridCol w:w="10048"/>
      </w:tblGrid>
      <w:tr w:rsidR="00683CF1" w:rsidRPr="00683CF1" w:rsidTr="00683CF1">
        <w:trPr>
          <w:trHeight w:val="70"/>
        </w:trPr>
        <w:tc>
          <w:tcPr>
            <w:tcW w:w="10048" w:type="dxa"/>
          </w:tcPr>
          <w:p w:rsidR="00683CF1" w:rsidRPr="00683CF1" w:rsidRDefault="00683CF1" w:rsidP="00E10B9D">
            <w:pPr>
              <w:pStyle w:val="Prrafodelista"/>
              <w:spacing w:after="160" w:line="259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683CF1" w:rsidRPr="00683CF1" w:rsidRDefault="00683CF1" w:rsidP="00683CF1">
      <w:pPr>
        <w:pStyle w:val="Prrafodelista"/>
        <w:jc w:val="both"/>
        <w:rPr>
          <w:rFonts w:cstheme="minorHAnsi"/>
        </w:rPr>
      </w:pPr>
    </w:p>
    <w:p w:rsidR="00683CF1" w:rsidRPr="00683CF1" w:rsidRDefault="00683CF1" w:rsidP="00683CF1">
      <w:pPr>
        <w:pStyle w:val="Prrafodelista"/>
        <w:numPr>
          <w:ilvl w:val="0"/>
          <w:numId w:val="11"/>
        </w:numPr>
        <w:jc w:val="both"/>
        <w:rPr>
          <w:rFonts w:cstheme="minorHAnsi"/>
        </w:rPr>
      </w:pPr>
      <w:r w:rsidRPr="00683CF1">
        <w:rPr>
          <w:rFonts w:cstheme="minorHAnsi"/>
        </w:rPr>
        <w:t xml:space="preserve">Se denomina prueba de una cola o unilateral sí estamos interesados en determinar si el valor del estimador (muestra) es mayor o menor que el valor del parámetro (μ). En este caso Ho se rechazará si el valor del estadístico de prueba se ubica en la cola inferior o superior de la distribución </w:t>
      </w:r>
      <w:proofErr w:type="spellStart"/>
      <w:r w:rsidRPr="00683CF1">
        <w:rPr>
          <w:rFonts w:cstheme="minorHAnsi"/>
        </w:rPr>
        <w:t>muestral</w:t>
      </w:r>
      <w:proofErr w:type="spellEnd"/>
      <w:r w:rsidRPr="00683CF1">
        <w:rPr>
          <w:rFonts w:cstheme="minorHAnsi"/>
        </w:rPr>
        <w:t>.</w:t>
      </w:r>
    </w:p>
    <w:tbl>
      <w:tblPr>
        <w:tblStyle w:val="Tablaconcuadrcula"/>
        <w:tblW w:w="10048" w:type="dxa"/>
        <w:tblInd w:w="720" w:type="dxa"/>
        <w:tblLook w:val="04A0" w:firstRow="1" w:lastRow="0" w:firstColumn="1" w:lastColumn="0" w:noHBand="0" w:noVBand="1"/>
      </w:tblPr>
      <w:tblGrid>
        <w:gridCol w:w="10048"/>
      </w:tblGrid>
      <w:tr w:rsidR="00683CF1" w:rsidRPr="00683CF1" w:rsidTr="00E10B9D">
        <w:tc>
          <w:tcPr>
            <w:tcW w:w="10048" w:type="dxa"/>
          </w:tcPr>
          <w:p w:rsidR="00683CF1" w:rsidRPr="00683CF1" w:rsidRDefault="00683CF1" w:rsidP="00E10B9D">
            <w:pPr>
              <w:spacing w:after="160" w:line="259" w:lineRule="auto"/>
              <w:jc w:val="both"/>
              <w:rPr>
                <w:rFonts w:asciiTheme="minorHAnsi" w:hAnsiTheme="minorHAnsi"/>
                <w:sz w:val="22"/>
                <w:szCs w:val="22"/>
                <w:highlight w:val="yellow"/>
              </w:rPr>
            </w:pPr>
          </w:p>
        </w:tc>
      </w:tr>
    </w:tbl>
    <w:p w:rsidR="00683CF1" w:rsidRPr="00683CF1" w:rsidRDefault="00683CF1" w:rsidP="00683CF1">
      <w:pPr>
        <w:jc w:val="both"/>
        <w:rPr>
          <w:rFonts w:cstheme="minorHAnsi"/>
          <w:szCs w:val="20"/>
        </w:rPr>
      </w:pPr>
    </w:p>
    <w:p w:rsidR="00683CF1" w:rsidRPr="00683CF1" w:rsidRDefault="00683CF1" w:rsidP="00683CF1">
      <w:pPr>
        <w:pStyle w:val="Prrafodelista"/>
        <w:numPr>
          <w:ilvl w:val="0"/>
          <w:numId w:val="11"/>
        </w:numPr>
        <w:jc w:val="both"/>
        <w:rPr>
          <w:rFonts w:cstheme="minorHAnsi"/>
          <w:szCs w:val="20"/>
        </w:rPr>
      </w:pPr>
      <w:r w:rsidRPr="00683CF1">
        <w:rPr>
          <w:rFonts w:cstheme="minorHAnsi"/>
          <w:szCs w:val="20"/>
        </w:rPr>
        <w:t xml:space="preserve">En un intervalo de confianza de largo mínimo para la media µ de una distribución Normal, si aumento el nivel de confianza, entonces aumenta el largo del intervalo. </w:t>
      </w:r>
    </w:p>
    <w:tbl>
      <w:tblPr>
        <w:tblStyle w:val="Tablaconcuadrcula"/>
        <w:tblW w:w="10048" w:type="dxa"/>
        <w:tblInd w:w="720" w:type="dxa"/>
        <w:tblLook w:val="04A0" w:firstRow="1" w:lastRow="0" w:firstColumn="1" w:lastColumn="0" w:noHBand="0" w:noVBand="1"/>
      </w:tblPr>
      <w:tblGrid>
        <w:gridCol w:w="10048"/>
      </w:tblGrid>
      <w:tr w:rsidR="00683CF1" w:rsidRPr="00683CF1" w:rsidTr="00E10B9D">
        <w:tc>
          <w:tcPr>
            <w:tcW w:w="10048" w:type="dxa"/>
          </w:tcPr>
          <w:p w:rsidR="00683CF1" w:rsidRPr="00683CF1" w:rsidRDefault="00683CF1" w:rsidP="00E10B9D">
            <w:pPr>
              <w:pStyle w:val="Prrafodelista"/>
              <w:spacing w:after="160" w:line="259" w:lineRule="auto"/>
              <w:ind w:left="0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</w:tbl>
    <w:p w:rsidR="00683CF1" w:rsidRPr="00683CF1" w:rsidRDefault="00683CF1" w:rsidP="00683CF1">
      <w:pPr>
        <w:jc w:val="both"/>
        <w:rPr>
          <w:rFonts w:cstheme="minorHAnsi"/>
          <w:szCs w:val="20"/>
        </w:rPr>
      </w:pPr>
    </w:p>
    <w:p w:rsidR="00683CF1" w:rsidRPr="00683CF1" w:rsidRDefault="00683CF1" w:rsidP="00683CF1">
      <w:pPr>
        <w:pStyle w:val="Prrafodelista"/>
        <w:numPr>
          <w:ilvl w:val="0"/>
          <w:numId w:val="11"/>
        </w:numPr>
        <w:jc w:val="both"/>
        <w:rPr>
          <w:rFonts w:cstheme="minorHAnsi"/>
          <w:szCs w:val="20"/>
        </w:rPr>
      </w:pPr>
      <w:r w:rsidRPr="00683CF1">
        <w:rPr>
          <w:rFonts w:cstheme="minorHAnsi"/>
          <w:szCs w:val="20"/>
        </w:rPr>
        <w:t>Para hacer inferencia estadística basta tomar cualquier muestra dentro de la población de estudio.</w:t>
      </w:r>
    </w:p>
    <w:tbl>
      <w:tblPr>
        <w:tblStyle w:val="Tablaconcuadrcula"/>
        <w:tblW w:w="10048" w:type="dxa"/>
        <w:tblInd w:w="720" w:type="dxa"/>
        <w:tblLook w:val="04A0" w:firstRow="1" w:lastRow="0" w:firstColumn="1" w:lastColumn="0" w:noHBand="0" w:noVBand="1"/>
      </w:tblPr>
      <w:tblGrid>
        <w:gridCol w:w="10048"/>
      </w:tblGrid>
      <w:tr w:rsidR="00683CF1" w:rsidRPr="00683CF1" w:rsidTr="00E10B9D">
        <w:tc>
          <w:tcPr>
            <w:tcW w:w="10048" w:type="dxa"/>
          </w:tcPr>
          <w:p w:rsidR="00683CF1" w:rsidRPr="00683CF1" w:rsidRDefault="00683CF1" w:rsidP="00E10B9D">
            <w:pPr>
              <w:pStyle w:val="Prrafodelista"/>
              <w:spacing w:after="160" w:line="259" w:lineRule="auto"/>
              <w:ind w:left="0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</w:tbl>
    <w:p w:rsidR="00683CF1" w:rsidRPr="00683CF1" w:rsidRDefault="00683CF1" w:rsidP="00683CF1">
      <w:pPr>
        <w:spacing w:after="0" w:line="240" w:lineRule="auto"/>
        <w:jc w:val="both"/>
      </w:pPr>
    </w:p>
    <w:p w:rsidR="005309A9" w:rsidRPr="00683CF1" w:rsidRDefault="0023169E" w:rsidP="008C47B2">
      <w:pPr>
        <w:pStyle w:val="Prrafodelista"/>
        <w:numPr>
          <w:ilvl w:val="0"/>
          <w:numId w:val="8"/>
        </w:numPr>
        <w:spacing w:after="0" w:line="240" w:lineRule="auto"/>
        <w:jc w:val="both"/>
      </w:pPr>
      <w:r w:rsidRPr="00683CF1">
        <w:t>El BID le solicita a usted realizar un estudio sobre el PIB per cápita de los países de la región, para ello dispone de una base de datos con datos poblacionales del año 2016 (</w:t>
      </w:r>
      <w:proofErr w:type="spellStart"/>
      <w:r w:rsidRPr="00683CF1">
        <w:t>PIB.dta</w:t>
      </w:r>
      <w:proofErr w:type="spellEnd"/>
      <w:r w:rsidRPr="00683CF1">
        <w:t>)</w:t>
      </w:r>
      <w:r w:rsidR="00CD7BED" w:rsidRPr="00683CF1">
        <w:t>. El PIB está en millones de dólares y la población en millones de personas.</w:t>
      </w:r>
    </w:p>
    <w:p w:rsidR="0023169E" w:rsidRPr="00683CF1" w:rsidRDefault="0023169E" w:rsidP="00115425">
      <w:pPr>
        <w:spacing w:after="0" w:line="240" w:lineRule="auto"/>
        <w:jc w:val="both"/>
      </w:pPr>
    </w:p>
    <w:p w:rsidR="0023169E" w:rsidRPr="00683CF1" w:rsidRDefault="00E471E4" w:rsidP="0023169E">
      <w:pPr>
        <w:pStyle w:val="Prrafodelista"/>
        <w:numPr>
          <w:ilvl w:val="0"/>
          <w:numId w:val="7"/>
        </w:numPr>
        <w:spacing w:after="0" w:line="240" w:lineRule="auto"/>
        <w:jc w:val="both"/>
      </w:pPr>
      <w:r w:rsidRPr="00683CF1">
        <w:t>Crear una nueva variable en STATA que contenga la información del PIB per cápita para cada país</w:t>
      </w:r>
    </w:p>
    <w:p w:rsidR="00CD7BED" w:rsidRPr="00683CF1" w:rsidRDefault="00CD7BED" w:rsidP="00E471E4">
      <w:pPr>
        <w:pStyle w:val="Prrafodelista"/>
        <w:spacing w:after="0" w:line="240" w:lineRule="auto"/>
        <w:jc w:val="both"/>
      </w:pPr>
    </w:p>
    <w:p w:rsidR="00E471E4" w:rsidRPr="00683CF1" w:rsidRDefault="00A31890" w:rsidP="0023169E">
      <w:pPr>
        <w:pStyle w:val="Prrafodelista"/>
        <w:numPr>
          <w:ilvl w:val="0"/>
          <w:numId w:val="7"/>
        </w:numPr>
        <w:spacing w:after="0" w:line="240" w:lineRule="auto"/>
        <w:jc w:val="both"/>
      </w:pPr>
      <w:r w:rsidRPr="00683CF1">
        <w:t>Genere</w:t>
      </w:r>
      <w:r w:rsidR="00E471E4" w:rsidRPr="00683CF1">
        <w:t xml:space="preserve"> un intervalo de confianza para el PIB per cápita de Latinoamérica</w:t>
      </w:r>
      <w:r w:rsidR="008A68E0" w:rsidRPr="00683CF1">
        <w:t xml:space="preserve"> (90% NC)</w:t>
      </w:r>
    </w:p>
    <w:p w:rsidR="00CD7BED" w:rsidRPr="00683CF1" w:rsidRDefault="00CD7BED" w:rsidP="008C47B2">
      <w:pPr>
        <w:spacing w:after="0" w:line="240" w:lineRule="auto"/>
        <w:jc w:val="both"/>
      </w:pPr>
    </w:p>
    <w:p w:rsidR="00A31890" w:rsidRPr="00683CF1" w:rsidRDefault="008A68E0" w:rsidP="008A68E0">
      <w:pPr>
        <w:pStyle w:val="Prrafodelista"/>
        <w:numPr>
          <w:ilvl w:val="0"/>
          <w:numId w:val="7"/>
        </w:numPr>
        <w:spacing w:after="0" w:line="240" w:lineRule="auto"/>
        <w:jc w:val="both"/>
      </w:pPr>
      <w:r w:rsidRPr="00683CF1">
        <w:t>Genere un intervalo de confianza para Sudamérica y otro para el resto de países</w:t>
      </w:r>
      <w:r w:rsidR="00A31890" w:rsidRPr="00683CF1">
        <w:t xml:space="preserve"> (95% NC)</w:t>
      </w:r>
    </w:p>
    <w:p w:rsidR="00E471E4" w:rsidRPr="00683CF1" w:rsidRDefault="00E471E4" w:rsidP="00E471E4">
      <w:pPr>
        <w:pStyle w:val="Prrafodelista"/>
        <w:spacing w:after="0" w:line="240" w:lineRule="auto"/>
        <w:jc w:val="both"/>
      </w:pPr>
    </w:p>
    <w:p w:rsidR="00A31890" w:rsidRPr="00683CF1" w:rsidRDefault="00A31890" w:rsidP="00A31890">
      <w:pPr>
        <w:pStyle w:val="Prrafodelista"/>
        <w:numPr>
          <w:ilvl w:val="0"/>
          <w:numId w:val="7"/>
        </w:numPr>
        <w:spacing w:after="0" w:line="240" w:lineRule="auto"/>
        <w:jc w:val="both"/>
      </w:pPr>
      <w:r w:rsidRPr="00683CF1">
        <w:t xml:space="preserve">Posteriormente, el BID le solicita evaluar una política pública implementada en el año 2017 en conjunto con todos los países, la cual aumentó, en promedio, un 3% el PIB per cápita de Latinoamérica. ¿Esta política habrá aumentado significativamente el PIB per cápita promedio de la </w:t>
      </w:r>
      <w:r w:rsidR="006E7AAA">
        <w:t>América Latina</w:t>
      </w:r>
      <w:r w:rsidRPr="00683CF1">
        <w:t>?</w:t>
      </w:r>
      <w:r w:rsidR="00CD7BED" w:rsidRPr="00683CF1">
        <w:t xml:space="preserve"> (80% NC)</w:t>
      </w:r>
    </w:p>
    <w:p w:rsidR="00A31890" w:rsidRPr="00683CF1" w:rsidRDefault="00A31890" w:rsidP="00A31890">
      <w:pPr>
        <w:spacing w:after="0" w:line="240" w:lineRule="auto"/>
        <w:jc w:val="both"/>
      </w:pPr>
    </w:p>
    <w:p w:rsidR="00D02FD8" w:rsidRPr="00683CF1" w:rsidRDefault="00D02FD8" w:rsidP="00D02FD8">
      <w:pPr>
        <w:pStyle w:val="Prrafodelista"/>
        <w:numPr>
          <w:ilvl w:val="0"/>
          <w:numId w:val="7"/>
        </w:numPr>
        <w:spacing w:line="240" w:lineRule="auto"/>
        <w:jc w:val="both"/>
      </w:pPr>
      <w:r w:rsidRPr="00683CF1">
        <w:t>¿El ingreso per cápita de Sudamérica habrá aumentado significativamente? (90% NC)</w:t>
      </w:r>
      <w:bookmarkStart w:id="0" w:name="_GoBack"/>
      <w:bookmarkEnd w:id="0"/>
    </w:p>
    <w:p w:rsidR="00D02FD8" w:rsidRPr="00683CF1" w:rsidRDefault="00D02FD8" w:rsidP="006E7AAA">
      <w:pPr>
        <w:spacing w:line="240" w:lineRule="auto"/>
        <w:jc w:val="both"/>
      </w:pPr>
    </w:p>
    <w:sectPr w:rsidR="00D02FD8" w:rsidRPr="00683CF1" w:rsidSect="001E05C1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A11CE4"/>
    <w:multiLevelType w:val="hybridMultilevel"/>
    <w:tmpl w:val="AF42FAEC"/>
    <w:lvl w:ilvl="0" w:tplc="3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40A0019">
      <w:start w:val="1"/>
      <w:numFmt w:val="lowerLetter"/>
      <w:lvlText w:val="%2."/>
      <w:lvlJc w:val="left"/>
      <w:pPr>
        <w:ind w:left="502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908636E"/>
    <w:multiLevelType w:val="hybridMultilevel"/>
    <w:tmpl w:val="1E70FFBA"/>
    <w:lvl w:ilvl="0" w:tplc="340A0019">
      <w:start w:val="1"/>
      <w:numFmt w:val="lowerLetter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4D65BA"/>
    <w:multiLevelType w:val="hybridMultilevel"/>
    <w:tmpl w:val="C32E4AD4"/>
    <w:lvl w:ilvl="0" w:tplc="3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FE10B2"/>
    <w:multiLevelType w:val="hybridMultilevel"/>
    <w:tmpl w:val="3C6447B0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0910EB"/>
    <w:multiLevelType w:val="hybridMultilevel"/>
    <w:tmpl w:val="8F88F464"/>
    <w:lvl w:ilvl="0" w:tplc="340A000F">
      <w:start w:val="1"/>
      <w:numFmt w:val="decimal"/>
      <w:lvlText w:val="%1."/>
      <w:lvlJc w:val="left"/>
      <w:pPr>
        <w:ind w:left="360" w:hanging="360"/>
      </w:pPr>
    </w:lvl>
    <w:lvl w:ilvl="1" w:tplc="340A0019">
      <w:start w:val="1"/>
      <w:numFmt w:val="lowerLetter"/>
      <w:lvlText w:val="%2."/>
      <w:lvlJc w:val="left"/>
      <w:pPr>
        <w:ind w:left="644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0482E44"/>
    <w:multiLevelType w:val="hybridMultilevel"/>
    <w:tmpl w:val="0D921334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F87B9A"/>
    <w:multiLevelType w:val="hybridMultilevel"/>
    <w:tmpl w:val="0D921334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0601FF"/>
    <w:multiLevelType w:val="hybridMultilevel"/>
    <w:tmpl w:val="983E05E6"/>
    <w:lvl w:ilvl="0" w:tplc="340A0019">
      <w:start w:val="1"/>
      <w:numFmt w:val="lowerLetter"/>
      <w:lvlText w:val="%1."/>
      <w:lvlJc w:val="left"/>
      <w:pPr>
        <w:ind w:left="644" w:hanging="360"/>
      </w:pPr>
    </w:lvl>
    <w:lvl w:ilvl="1" w:tplc="340A0019" w:tentative="1">
      <w:start w:val="1"/>
      <w:numFmt w:val="lowerLetter"/>
      <w:lvlText w:val="%2."/>
      <w:lvlJc w:val="left"/>
      <w:pPr>
        <w:ind w:left="1364" w:hanging="360"/>
      </w:pPr>
    </w:lvl>
    <w:lvl w:ilvl="2" w:tplc="340A001B" w:tentative="1">
      <w:start w:val="1"/>
      <w:numFmt w:val="lowerRoman"/>
      <w:lvlText w:val="%3."/>
      <w:lvlJc w:val="right"/>
      <w:pPr>
        <w:ind w:left="2084" w:hanging="180"/>
      </w:pPr>
    </w:lvl>
    <w:lvl w:ilvl="3" w:tplc="340A000F" w:tentative="1">
      <w:start w:val="1"/>
      <w:numFmt w:val="decimal"/>
      <w:lvlText w:val="%4."/>
      <w:lvlJc w:val="left"/>
      <w:pPr>
        <w:ind w:left="2804" w:hanging="360"/>
      </w:pPr>
    </w:lvl>
    <w:lvl w:ilvl="4" w:tplc="340A0019" w:tentative="1">
      <w:start w:val="1"/>
      <w:numFmt w:val="lowerLetter"/>
      <w:lvlText w:val="%5."/>
      <w:lvlJc w:val="left"/>
      <w:pPr>
        <w:ind w:left="3524" w:hanging="360"/>
      </w:pPr>
    </w:lvl>
    <w:lvl w:ilvl="5" w:tplc="340A001B" w:tentative="1">
      <w:start w:val="1"/>
      <w:numFmt w:val="lowerRoman"/>
      <w:lvlText w:val="%6."/>
      <w:lvlJc w:val="right"/>
      <w:pPr>
        <w:ind w:left="4244" w:hanging="180"/>
      </w:pPr>
    </w:lvl>
    <w:lvl w:ilvl="6" w:tplc="340A000F" w:tentative="1">
      <w:start w:val="1"/>
      <w:numFmt w:val="decimal"/>
      <w:lvlText w:val="%7."/>
      <w:lvlJc w:val="left"/>
      <w:pPr>
        <w:ind w:left="4964" w:hanging="360"/>
      </w:pPr>
    </w:lvl>
    <w:lvl w:ilvl="7" w:tplc="340A0019" w:tentative="1">
      <w:start w:val="1"/>
      <w:numFmt w:val="lowerLetter"/>
      <w:lvlText w:val="%8."/>
      <w:lvlJc w:val="left"/>
      <w:pPr>
        <w:ind w:left="5684" w:hanging="360"/>
      </w:pPr>
    </w:lvl>
    <w:lvl w:ilvl="8" w:tplc="3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A8075D2"/>
    <w:multiLevelType w:val="hybridMultilevel"/>
    <w:tmpl w:val="B9BE4AB8"/>
    <w:lvl w:ilvl="0" w:tplc="340A0019">
      <w:start w:val="1"/>
      <w:numFmt w:val="lowerLetter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AD6528"/>
    <w:multiLevelType w:val="hybridMultilevel"/>
    <w:tmpl w:val="0D921334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C957F6"/>
    <w:multiLevelType w:val="hybridMultilevel"/>
    <w:tmpl w:val="3D7C4546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10"/>
  </w:num>
  <w:num w:numId="4">
    <w:abstractNumId w:val="9"/>
  </w:num>
  <w:num w:numId="5">
    <w:abstractNumId w:val="5"/>
  </w:num>
  <w:num w:numId="6">
    <w:abstractNumId w:val="3"/>
  </w:num>
  <w:num w:numId="7">
    <w:abstractNumId w:val="1"/>
  </w:num>
  <w:num w:numId="8">
    <w:abstractNumId w:val="4"/>
  </w:num>
  <w:num w:numId="9">
    <w:abstractNumId w:val="0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5C1"/>
    <w:rsid w:val="00115425"/>
    <w:rsid w:val="001E05C1"/>
    <w:rsid w:val="00227D7C"/>
    <w:rsid w:val="0023169E"/>
    <w:rsid w:val="002B58B8"/>
    <w:rsid w:val="00512F3B"/>
    <w:rsid w:val="005309A9"/>
    <w:rsid w:val="0053499C"/>
    <w:rsid w:val="00596F4F"/>
    <w:rsid w:val="005A6308"/>
    <w:rsid w:val="00667B0B"/>
    <w:rsid w:val="00683CF1"/>
    <w:rsid w:val="006E7AAA"/>
    <w:rsid w:val="007632C0"/>
    <w:rsid w:val="007C0B5D"/>
    <w:rsid w:val="007C1BC1"/>
    <w:rsid w:val="0084465B"/>
    <w:rsid w:val="008A68E0"/>
    <w:rsid w:val="008C47B2"/>
    <w:rsid w:val="009107C1"/>
    <w:rsid w:val="00A20A1E"/>
    <w:rsid w:val="00A31890"/>
    <w:rsid w:val="00A35F40"/>
    <w:rsid w:val="00A44714"/>
    <w:rsid w:val="00A57CBD"/>
    <w:rsid w:val="00B510B1"/>
    <w:rsid w:val="00CC5FB7"/>
    <w:rsid w:val="00CD7BED"/>
    <w:rsid w:val="00CE0379"/>
    <w:rsid w:val="00D02FD8"/>
    <w:rsid w:val="00E471E4"/>
    <w:rsid w:val="00E81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9C526CAC-7174-4A6D-A5E9-1BF040568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E05C1"/>
    <w:pPr>
      <w:ind w:left="720"/>
      <w:contextualSpacing/>
    </w:pPr>
  </w:style>
  <w:style w:type="table" w:styleId="Tablaconcuadrcula">
    <w:name w:val="Table Grid"/>
    <w:basedOn w:val="Tablanormal"/>
    <w:uiPriority w:val="39"/>
    <w:rsid w:val="00683C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C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30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313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2018-12-04T14:48:00Z</dcterms:created>
  <dcterms:modified xsi:type="dcterms:W3CDTF">2018-12-04T14:48:00Z</dcterms:modified>
</cp:coreProperties>
</file>